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'1.0' encoding='UTF-8'?>
<Relationships xmlns="http://schemas.openxmlformats.org/package/2006/relationships"><Relationship Type="http://schemas.openxmlformats.org/officeDocument/2006/relationships/officeDocument" Target="word/document.xml" Id="Rb9dd7c944ff44421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CoverB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Bg.png"/>
                    <pic:cNvPicPr/>
                  </pic:nvPicPr>
                  <pic:blipFill>
                    <a:blip r:embed="R121ee045e6a3495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before="3400"/>
      </w:pPr>
      <w:r/>
    </w:p>
    <w:p>
      <w:pPr>
        <w:spacing w:after="500"/>
        <w:ind w:left="1200"/>
      </w:pPr>
      <w:r>
        <w:rPr>
          <w:rFonts w:ascii="Calibri" w:hAnsi="Calibri" w:eastAsia="Microsoft YaHei"/>
          <w:color w:val="2F6B5C"/>
          <w:spacing w:val="30"/>
          <w:sz w:val="20"/>
        </w:rPr>
        <w:t>产品方案书 · 内部讨论版 V1.0</w:t>
      </w:r>
    </w:p>
    <w:p>
      <w:pPr>
        <w:spacing w:after="120"/>
        <w:ind w:left="1200"/>
      </w:pPr>
      <w:r>
        <w:rPr>
          <w:rFonts w:ascii="Calibri" w:hAnsi="Calibri" w:eastAsia="Microsoft YaHei"/>
          <w:b/>
          <w:color w:val="1D4A41"/>
          <w:spacing w:val="40"/>
          <w:sz w:val="84"/>
        </w:rPr>
        <w:t>零账 ZeroBook</w:t>
      </w:r>
    </w:p>
    <w:p>
      <w:pPr>
        <w:spacing w:after="2600"/>
        <w:ind w:left="1200"/>
      </w:pPr>
      <w:r>
        <w:rPr>
          <w:rFonts w:ascii="Calibri" w:hAnsi="Calibri" w:eastAsia="Microsoft YaHei"/>
          <w:color w:val="4A675F"/>
          <w:spacing w:val="16"/>
          <w:sz w:val="26"/>
        </w:rPr>
        <w:t>面向零基础个体工商户的 AI 全自动记账报税产品</w:t>
      </w:r>
    </w:p>
    <w:p>
      <w:pPr>
        <w:ind w:left="1200"/>
      </w:pPr>
      <w:r>
        <w:rPr>
          <w:rFonts w:ascii="Calibri" w:hAnsi="Calibri" w:eastAsia="Microsoft YaHei"/>
          <w:color w:val="8FA79E"/>
          <w:sz w:val="20"/>
        </w:rPr>
        <w:t>产品部 ｜ 2026 年 7 月</w:t>
      </w:r>
    </w:p>
    <w:p>
      <w:pPr>
        <w:sectPr>
          <w:type w:val="nextPage"/>
          <w:pgSz w:w="11906" w:h="16838"/>
          <w:pgMar w:top="0" w:right="0" w:bottom="0" w:left="0" w:header="0" w:footer="0"/>
          <w:titlePg/>
        </w:sectPr>
      </w:pPr>
    </w:p>
    <w:p>
      <w:pPr>
        <w:pStyle w:val="Heading1"/>
      </w:pPr>
      <w:r>
        <w:t>目录</w:t>
      </w:r>
      <w:bookmarkStart w:name="_Toc000" w:id="1"/>
      <w:bookmarkEnd w:id="1"/>
    </w:p>
    <w:p>
      <w:pPr>
        <w:spacing w:after="240"/>
        <w:ind w:firstLine="0"/>
      </w:pPr>
      <w:r>
        <w:rPr>
          <w:rFonts w:ascii="Calibri" w:hAnsi="Calibri" w:eastAsia="Microsoft YaHei"/>
          <w:color w:val="8FA79E"/>
          <w:sz w:val="18"/>
        </w:rPr>
        <w:t>在 Word 中右键目录并选择“更新域”，即可刷新页码</w:t>
      </w:r>
    </w:p>
    <w:p>
      <w:r>
        <w:fldChar w:fldCharType="begin"/>
      </w:r>
      <w:r>
        <w:instrText xml:space="preserve"> TOC \o "1-2" \h \z \u </w:instrText>
      </w:r>
      <w:r>
        <w:fldChar w:fldCharType="separate"/>
      </w:r>
    </w:p>
    <w:p>
      <w:pPr>
        <w:pStyle w:val="TOC1"/>
      </w:pPr>
      <w:r>
        <w:t>一、产品概述</w:t>
      </w:r>
      <w:r>
        <w:tab/>
      </w:r>
      <w:r>
        <w:t>3</w:t>
      </w:r>
    </w:p>
    <w:p>
      <w:pPr>
        <w:pStyle w:val="TOC2"/>
      </w:pPr>
      <w:r>
        <w:t>1.1 产品定位</w:t>
      </w:r>
      <w:r>
        <w:tab/>
      </w:r>
      <w:r>
        <w:t>3</w:t>
      </w:r>
    </w:p>
    <w:p>
      <w:pPr>
        <w:pStyle w:val="TOC2"/>
      </w:pPr>
      <w:r>
        <w:t>1.2 为什么是现在</w:t>
      </w:r>
      <w:r>
        <w:tab/>
      </w:r>
      <w:r>
        <w:t>3</w:t>
      </w:r>
    </w:p>
    <w:p>
      <w:pPr>
        <w:pStyle w:val="TOC2"/>
      </w:pPr>
      <w:r>
        <w:t>1.3 产品目标</w:t>
      </w:r>
      <w:r>
        <w:tab/>
      </w:r>
      <w:r>
        <w:t>4</w:t>
      </w:r>
    </w:p>
    <w:p>
      <w:pPr>
        <w:pStyle w:val="TOC2"/>
      </w:pPr>
      <w:r>
        <w:t>1.4 本手册导读</w:t>
      </w:r>
      <w:r>
        <w:tab/>
      </w:r>
      <w:r>
        <w:t>4</w:t>
      </w:r>
    </w:p>
    <w:p>
      <w:pPr>
        <w:pStyle w:val="TOC1"/>
      </w:pPr>
      <w:r>
        <w:t>二、市场背景与机会</w:t>
      </w:r>
      <w:r>
        <w:tab/>
      </w:r>
      <w:r>
        <w:t>5</w:t>
      </w:r>
    </w:p>
    <w:p>
      <w:pPr>
        <w:pStyle w:val="TOC2"/>
      </w:pPr>
      <w:r>
        <w:t>2.1 市场规模</w:t>
      </w:r>
      <w:r>
        <w:tab/>
      </w:r>
      <w:r>
        <w:t>5</w:t>
      </w:r>
    </w:p>
    <w:p>
      <w:pPr>
        <w:pStyle w:val="TOC2"/>
      </w:pPr>
      <w:r>
        <w:t>2.2 用户痛点</w:t>
      </w:r>
      <w:r>
        <w:tab/>
      </w:r>
      <w:r>
        <w:t>5</w:t>
      </w:r>
    </w:p>
    <w:p>
      <w:pPr>
        <w:pStyle w:val="TOC2"/>
      </w:pPr>
      <w:r>
        <w:t>2.3 现有方案的结构性盲区</w:t>
      </w:r>
      <w:r>
        <w:tab/>
      </w:r>
      <w:r>
        <w:t>6</w:t>
      </w:r>
    </w:p>
    <w:p>
      <w:pPr>
        <w:pStyle w:val="TOC2"/>
      </w:pPr>
      <w:r>
        <w:t>2.4 政策与技术环境</w:t>
      </w:r>
      <w:r>
        <w:tab/>
      </w:r>
      <w:r>
        <w:t>6</w:t>
      </w:r>
    </w:p>
    <w:p>
      <w:pPr>
        <w:pStyle w:val="TOC1"/>
      </w:pPr>
      <w:r>
        <w:t>三、目标用户与使用场景</w:t>
      </w:r>
      <w:r>
        <w:tab/>
      </w:r>
      <w:r>
        <w:t>7</w:t>
      </w:r>
    </w:p>
    <w:p>
      <w:pPr>
        <w:pStyle w:val="TOC2"/>
      </w:pPr>
      <w:r>
        <w:t>3.1 用户画像</w:t>
      </w:r>
      <w:r>
        <w:tab/>
      </w:r>
      <w:r>
        <w:t>7</w:t>
      </w:r>
    </w:p>
    <w:p>
      <w:pPr>
        <w:pStyle w:val="TOC2"/>
      </w:pPr>
      <w:r>
        <w:t>3.2 两种征收方式：产品设计的分水岭</w:t>
      </w:r>
      <w:r>
        <w:tab/>
      </w:r>
      <w:r>
        <w:t>8</w:t>
      </w:r>
    </w:p>
    <w:p>
      <w:pPr>
        <w:pStyle w:val="TOC2"/>
      </w:pPr>
      <w:r>
        <w:t>3.3 核心使用场景</w:t>
      </w:r>
      <w:r>
        <w:tab/>
      </w:r>
      <w:r>
        <w:t>8</w:t>
      </w:r>
    </w:p>
    <w:p>
      <w:pPr>
        <w:pStyle w:val="TOC1"/>
      </w:pPr>
      <w:r>
        <w:t>四、产品总体方案</w:t>
      </w:r>
      <w:r>
        <w:tab/>
      </w:r>
      <w:r>
        <w:t>9</w:t>
      </w:r>
    </w:p>
    <w:p>
      <w:pPr>
        <w:pStyle w:val="TOC2"/>
      </w:pPr>
      <w:r>
        <w:t>4.1 总体架构</w:t>
      </w:r>
      <w:r>
        <w:tab/>
      </w:r>
      <w:r>
        <w:t>9</w:t>
      </w:r>
    </w:p>
    <w:p>
      <w:pPr>
        <w:pStyle w:val="TOC2"/>
      </w:pPr>
      <w:r>
        <w:t>4.2 核心设计原则</w:t>
      </w:r>
      <w:r>
        <w:tab/>
      </w:r>
      <w:r>
        <w:t>9</w:t>
      </w:r>
    </w:p>
    <w:p>
      <w:pPr>
        <w:pStyle w:val="TOC2"/>
      </w:pPr>
      <w:r>
        <w:t>4.3 用户旅程</w:t>
      </w:r>
      <w:r>
        <w:tab/>
      </w:r>
      <w:r>
        <w:t>10</w:t>
      </w:r>
    </w:p>
    <w:p>
      <w:pPr>
        <w:pStyle w:val="TOC1"/>
      </w:pPr>
      <w:r>
        <w:t>五、核心功能详述</w:t>
      </w:r>
      <w:r>
        <w:tab/>
      </w:r>
      <w:r>
        <w:t>11</w:t>
      </w:r>
    </w:p>
    <w:p>
      <w:pPr>
        <w:pStyle w:val="TOC2"/>
      </w:pPr>
      <w:r>
        <w:t>5.1 数据采集层</w:t>
      </w:r>
      <w:r>
        <w:tab/>
      </w:r>
      <w:r>
        <w:t>11</w:t>
      </w:r>
    </w:p>
    <w:p>
      <w:pPr>
        <w:pStyle w:val="TOC2"/>
      </w:pPr>
      <w:r>
        <w:t>5.2 AI 记账引擎</w:t>
      </w:r>
      <w:r>
        <w:tab/>
      </w:r>
      <w:r>
        <w:t>11</w:t>
      </w:r>
    </w:p>
    <w:p>
      <w:pPr>
        <w:pStyle w:val="TOC2"/>
      </w:pPr>
      <w:r>
        <w:t>5.3 报税执行层</w:t>
      </w:r>
      <w:r>
        <w:tab/>
      </w:r>
      <w:r>
        <w:t>12</w:t>
      </w:r>
    </w:p>
    <w:p>
      <w:pPr>
        <w:pStyle w:val="TOC2"/>
      </w:pPr>
      <w:r>
        <w:t>5.4 交互层</w:t>
      </w:r>
      <w:r>
        <w:tab/>
      </w:r>
      <w:r>
        <w:t>13</w:t>
      </w:r>
    </w:p>
    <w:p>
      <w:pPr>
        <w:pStyle w:val="TOC2"/>
      </w:pPr>
      <w:r>
        <w:t>5.5 功能优先级与 MVP 范围</w:t>
      </w:r>
      <w:r>
        <w:tab/>
      </w:r>
      <w:r>
        <w:t>13</w:t>
      </w:r>
    </w:p>
    <w:p>
      <w:pPr>
        <w:pStyle w:val="TOC1"/>
      </w:pPr>
      <w:r>
        <w:t>六、AI 技术方案</w:t>
      </w:r>
      <w:r>
        <w:tab/>
      </w:r>
      <w:r>
        <w:t>14</w:t>
      </w:r>
    </w:p>
    <w:p>
      <w:pPr>
        <w:pStyle w:val="TOC2"/>
      </w:pPr>
      <w:r>
        <w:t>6.1 三层协同架构</w:t>
      </w:r>
      <w:r>
        <w:tab/>
      </w:r>
      <w:r>
        <w:t>14</w:t>
      </w:r>
    </w:p>
    <w:p>
      <w:pPr>
        <w:pStyle w:val="TOC2"/>
      </w:pPr>
      <w:r>
        <w:t>6.2 置信度分级与人机协同</w:t>
      </w:r>
      <w:r>
        <w:tab/>
      </w:r>
      <w:r>
        <w:t>14</w:t>
      </w:r>
    </w:p>
    <w:p>
      <w:pPr>
        <w:pStyle w:val="TOC2"/>
      </w:pPr>
      <w:r>
        <w:t>6.3 数据安全与隐私</w:t>
      </w:r>
      <w:r>
        <w:tab/>
      </w:r>
      <w:r>
        <w:t>15</w:t>
      </w:r>
    </w:p>
    <w:p>
      <w:pPr>
        <w:pStyle w:val="TOC2"/>
      </w:pPr>
      <w:r>
        <w:t>6.4 电子税务局对接路径</w:t>
      </w:r>
      <w:r>
        <w:tab/>
      </w:r>
      <w:r>
        <w:t>15</w:t>
      </w:r>
    </w:p>
    <w:p>
      <w:pPr>
        <w:pStyle w:val="TOC1"/>
      </w:pPr>
      <w:r>
        <w:t>七、竞品对比与差异化</w:t>
      </w:r>
      <w:r>
        <w:tab/>
      </w:r>
      <w:r>
        <w:t>16</w:t>
      </w:r>
    </w:p>
    <w:p>
      <w:pPr>
        <w:pStyle w:val="TOC2"/>
      </w:pPr>
      <w:r>
        <w:t>7.1 竞品全景对比</w:t>
      </w:r>
      <w:r>
        <w:tab/>
      </w:r>
      <w:r>
        <w:t>16</w:t>
      </w:r>
    </w:p>
    <w:p>
      <w:pPr>
        <w:pStyle w:val="TOC2"/>
      </w:pPr>
      <w:r>
        <w:t>7.2 差异化定位</w:t>
      </w:r>
      <w:r>
        <w:tab/>
      </w:r>
      <w:r>
        <w:t>16</w:t>
      </w:r>
    </w:p>
    <w:p>
      <w:pPr>
        <w:pStyle w:val="TOC1"/>
      </w:pPr>
      <w:r>
        <w:t>八、商业模式与定价</w:t>
      </w:r>
      <w:r>
        <w:tab/>
      </w:r>
      <w:r>
        <w:t>17</w:t>
      </w:r>
    </w:p>
    <w:p>
      <w:pPr>
        <w:pStyle w:val="TOC2"/>
      </w:pPr>
      <w:r>
        <w:t>8.1 商业模式</w:t>
      </w:r>
      <w:r>
        <w:tab/>
      </w:r>
      <w:r>
        <w:t>17</w:t>
      </w:r>
    </w:p>
    <w:p>
      <w:pPr>
        <w:pStyle w:val="TOC2"/>
      </w:pPr>
      <w:r>
        <w:t>8.2 定价方案</w:t>
      </w:r>
      <w:r>
        <w:tab/>
      </w:r>
      <w:r>
        <w:t>17</w:t>
      </w:r>
    </w:p>
    <w:p>
      <w:pPr>
        <w:pStyle w:val="TOC2"/>
      </w:pPr>
      <w:r>
        <w:t>8.3 定价逻辑与单位经济</w:t>
      </w:r>
      <w:r>
        <w:tab/>
      </w:r>
      <w:r>
        <w:t>18</w:t>
      </w:r>
    </w:p>
    <w:p>
      <w:pPr>
        <w:pStyle w:val="TOC1"/>
      </w:pPr>
      <w:r>
        <w:t>九、合规与风险控制</w:t>
      </w:r>
      <w:r>
        <w:tab/>
      </w:r>
      <w:r>
        <w:t>19</w:t>
      </w:r>
    </w:p>
    <w:p>
      <w:pPr>
        <w:pStyle w:val="TOC2"/>
      </w:pPr>
      <w:r>
        <w:t>9.1 业务与资质边界</w:t>
      </w:r>
      <w:r>
        <w:tab/>
      </w:r>
      <w:r>
        <w:t>19</w:t>
      </w:r>
    </w:p>
    <w:p>
      <w:pPr>
        <w:pStyle w:val="TOC2"/>
      </w:pPr>
      <w:r>
        <w:t>9.2 数据合规</w:t>
      </w:r>
      <w:r>
        <w:tab/>
      </w:r>
      <w:r>
        <w:t>19</w:t>
      </w:r>
    </w:p>
    <w:p>
      <w:pPr>
        <w:pStyle w:val="TOC2"/>
      </w:pPr>
      <w:r>
        <w:t>9.3 责任边界与留痕</w:t>
      </w:r>
      <w:r>
        <w:tab/>
      </w:r>
      <w:r>
        <w:t>19</w:t>
      </w:r>
    </w:p>
    <w:p>
      <w:pPr>
        <w:pStyle w:val="TOC1"/>
      </w:pPr>
      <w:r>
        <w:t>十、产品路线图</w:t>
      </w:r>
      <w:r>
        <w:tab/>
      </w:r>
      <w:r>
        <w:t>20</w:t>
      </w:r>
    </w:p>
    <w:p>
      <w:pPr>
        <w:pStyle w:val="TOC2"/>
      </w:pPr>
      <w:r>
        <w:t>10.1 三阶段路线</w:t>
      </w:r>
      <w:r>
        <w:tab/>
      </w:r>
      <w:r>
        <w:t>20</w:t>
      </w:r>
    </w:p>
    <w:p>
      <w:pPr>
        <w:pStyle w:val="TOC2"/>
      </w:pPr>
      <w:r>
        <w:t>10.2 里程碑与资源</w:t>
      </w:r>
      <w:r>
        <w:tab/>
      </w:r>
      <w:r>
        <w:t>20</w:t>
      </w:r>
    </w:p>
    <w:p>
      <w:pPr>
        <w:pStyle w:val="TOC1"/>
      </w:pPr>
      <w:r>
        <w:t>十一、成功指标体系</w:t>
      </w:r>
      <w:r>
        <w:tab/>
      </w:r>
      <w:r>
        <w:t>21</w:t>
      </w:r>
    </w:p>
    <w:p>
      <w:pPr>
        <w:pStyle w:val="TOC2"/>
      </w:pPr>
      <w:r>
        <w:t>11.1 北极星指标</w:t>
      </w:r>
      <w:r>
        <w:tab/>
      </w:r>
      <w:r>
        <w:t>21</w:t>
      </w:r>
    </w:p>
    <w:p>
      <w:pPr>
        <w:pStyle w:val="TOC2"/>
      </w:pPr>
      <w:r>
        <w:t>11.2 关键指标</w:t>
      </w:r>
      <w:r>
        <w:tab/>
      </w:r>
      <w:r>
        <w:t>21</w:t>
      </w:r>
    </w:p>
    <w:p>
      <w:pPr>
        <w:pStyle w:val="TOC1"/>
      </w:pPr>
      <w:r>
        <w:t>十二、风险分析与应对</w:t>
      </w:r>
      <w:r>
        <w:tab/>
      </w:r>
      <w:r>
        <w:t>22</w:t>
      </w:r>
    </w:p>
    <w:p>
      <w:pPr>
        <w:pStyle w:val="TOC1"/>
      </w:pPr>
      <w:r>
        <w:t>附录 A 术语表</w:t>
      </w:r>
      <w:r>
        <w:tab/>
      </w:r>
      <w:r>
        <w:t>23</w:t>
      </w:r>
    </w:p>
    <w:p>
      <w:r>
        <w:fldChar w:fldCharType="end"/>
      </w:r>
    </w:p>
    <w:p>
      <w:pPr>
        <w:sectPr>
          <w:type w:val="nextPage"/>
          <w:pgSz w:w="11906" w:h="16838"/>
          <w:pgMar w:top="1800" w:right="1440" w:bottom="1440" w:left="1440" w:header="720" w:footer="720"/>
        </w:sectPr>
      </w:pPr>
    </w:p>
    <w:p>
      <w:pPr>
        <w:pStyle w:val="Heading1"/>
      </w:pPr>
      <w:r>
        <w:t>一、产品概述</w:t>
      </w:r>
      <w:bookmarkStart w:name="_Toc001" w:id="2"/>
      <w:bookmarkEnd w:id="2"/>
    </w:p>
    <w:p>
      <w:pPr>
        <w:pStyle w:val="Heading2"/>
      </w:pPr>
      <w:r>
        <w:t>1.1 产品定位</w:t>
      </w:r>
    </w:p>
    <w:p>
      <w:r>
        <w:t>零账（ZeroBook，产品暂名）是一款面向零基础个体工商户的 AI 全自动记账报税产品。它的目标客户不是会计，而是全国超过一亿户个体工商户背后那些“会做生意、不懂账本”的店主、摊主、电商卖家和自由职业者。</w:t>
      </w:r>
    </w:p>
    <w:p>
      <w:r>
        <w:t>产品可以用一句话概括：用户只管做生意，记账和报税交给 AI。用户的全部使用动作被压缩为两类——“给数据”（拍照、授权流水与平台数据）和“点确认”（申报前确认 AI 算出的结果），其余环节，包括票据识别、分类、做账、算税、填表、申报，全部由系统自动完成。</w:t>
      </w:r>
    </w:p>
    <w:p>
      <w:r>
        <w:t>我们将这一理念总结为“三零”承诺：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零会计知识——</w:t>
      </w:r>
      <w:r>
        <w:t>全产品不出现“凭证”“科目”“借贷”等会计术语，系统只问业务问题，不问会计问题。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零手工录入——</w:t>
      </w:r>
      <w:r>
        <w:t>全部经营数据通过拍照、授权同步、平台对接自动归集，用户不需要手工填写任何账表。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零报税焦虑——</w:t>
      </w:r>
      <w:r>
        <w:t>申报日历自动跟踪、税额自动计算、申报表自动填写，用户每季度只需约 3 分钟确认。</w:t>
      </w:r>
    </w:p>
    <w:p>
      <w:pPr>
        <w:pStyle w:val="Heading2"/>
      </w:pPr>
      <w:r>
        <w:t>1.2 为什么是现在</w:t>
      </w:r>
    </w:p>
    <w:p>
      <w:r>
        <w:t>四个条件在同一时间窗口内成熟，使“零操作记账”第一次成为可能，也第一次成为刚需：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票据电子化——</w:t>
      </w:r>
      <w:r>
        <w:t>数电票全面推广，发票从纸变成结构化数据，自动记账的最后一公里被打通。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流水数字化——</w:t>
      </w:r>
      <w:r>
        <w:t>微信、支付宝、银行账户全面数字化，个体户的经营数据已经“天然在线”。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AI 能力成熟——</w:t>
      </w:r>
      <w:r>
        <w:t>多模态大模型具备了理解票据内容与业务实质的能力，“非结构化票据到结构化账务”的自动化首次达到商用准确率。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合规刚需化——</w:t>
      </w:r>
      <w:r>
        <w:t>金税四期“以数治税”持续推进，个体户“不记账、零申报”的灰色空间正在消失，合规工具从可选变为必选。</w:t>
      </w:r>
    </w:p>
    <w:p>
      <w:pPr>
        <w:pStyle w:val="Heading2"/>
      </w:pPr>
      <w:r>
        <w:t>1.3 产品目标</w:t>
      </w:r>
    </w:p>
    <w:p>
      <w:r>
        <w:t>首个 18 个月，产品围绕以下目标建设与验证：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价值验证——</w:t>
      </w:r>
      <w:r>
        <w:t>季度报税完成率不低于 95%，零干预记账率不低于 90%——证明用户真的敢把账和税交给 AI。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规模目标——</w:t>
      </w:r>
      <w:r>
        <w:t>注册用户 10 万户，付费用户 1 万户，付费转化率不低于 10%。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质量目标——</w:t>
      </w:r>
      <w:r>
        <w:t>票据关键字段识别准确率不低于 99%，申报成功率不低于 99.5%，NPS 不低于 40。</w:t>
      </w:r>
    </w:p>
    <w:p>
      <w:pPr>
        <w:pStyle w:val="Heading2"/>
      </w:pPr>
      <w:r>
        <w:t>1.4 本手册导读</w:t>
      </w:r>
    </w:p>
    <w:p>
      <w:r>
        <w:t>本手册面向产品、研发、运营与管理团队，共十二章和一个附录。第二、三章回答“为谁做、为什么做”；第四至六章回答“做什么、怎么做”；第七至九章回答“如何赢、如何赚钱、如何不越界”；第十至十二章回答“节奏、衡量与风险”。</w:t>
      </w:r>
    </w:p>
    <w:p>
      <w:pPr>
        <w:pStyle w:val="Heading1"/>
      </w:pPr>
      <w:r>
        <w:t>二、市场背景与机会</w:t>
      </w:r>
      <w:bookmarkStart w:name="_Toc002" w:id="3"/>
      <w:bookmarkEnd w:id="3"/>
    </w:p>
    <w:p>
      <w:pPr>
        <w:pStyle w:val="Heading2"/>
      </w:pPr>
      <w:r>
        <w:t>2.1 市场规模</w:t>
      </w:r>
    </w:p>
    <w:p>
      <w:r>
        <w:t>我国登记在册的个体工商户已超过 1 亿户，中小微企业超过 5200 万户，构成全球规模最大的小微经营群体。围绕这一群体的财税服务中，仅代理记账市场的规模即已超过 900 亿元，且保持每年 12% 以上的增速。</w:t>
      </w:r>
    </w:p>
    <w:p>
      <w:r>
        <w:t>然而与巨大存量形成反差的是服务的渗透质量：超过 78% 的个体工商户和小微企业主没有财务背景。这意味着绝大多数财税软件预设的使用者画像（具备会计基础）与真实需求者画像（零基础店主）之间存在结构性错配——市场很大，但被正确服务的人很少。</w:t>
      </w:r>
    </w:p>
    <w:p>
      <w:pPr>
        <w:pStyle w:val="Heading2"/>
      </w:pPr>
      <w:r>
        <w:t>2.2 用户痛点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不会记——</w:t>
      </w:r>
      <w:r>
        <w:t>62% 的小微企业主将“操作门槛高、代账成本高”列为前三大痛点。主流财务软件以凭证和科目为核心交互，零基础用户打开即劝退。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代账不放心——</w:t>
      </w:r>
      <w:r>
        <w:t>代账行业低价竞争激烈，服务质量投诉率持续上升，错报、漏报、失联是个体户对代账公司的典型抱怨——钱花了不少，账依然糊涂。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怕税务风险——</w:t>
      </w:r>
      <w:r>
        <w:t>征收方式、免税额度、申报期限等规则复杂且频繁变动，店主既怕多交冤枉钱，更怕漏报被处罚，长期处于“不知道有没有问题”的焦虑中。</w:t>
      </w:r>
    </w:p>
    <w:p>
      <w:pPr>
        <w:pStyle w:val="Heading2"/>
      </w:pPr>
      <w:r>
        <w:t>2.3 现有方案的结构性盲区</w:t>
      </w:r>
    </w:p>
    <w:p>
      <w:r>
        <w:t>现有供给可以分为三类，每一类都没有真正解决零基础用户的问题：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500"/>
        <w:gridCol w:w="2500"/>
        <w:gridCol w:w="2000"/>
        <w:gridCol w:w="3000"/>
      </w:tblGrid>
      <w:tr>
        <w:trPr>
          <w:tblHeader/>
        </w:trPr>
        <w:tc>
          <w:tcPr>
            <w:tcW w:w="1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供给类型</w:t>
            </w:r>
          </w:p>
        </w:tc>
        <w:tc>
          <w:tcPr>
            <w:tcW w:w="2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代表方案</w:t>
            </w:r>
          </w:p>
        </w:tc>
        <w:tc>
          <w:tcPr>
            <w:tcW w:w="20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价格区间</w:t>
            </w:r>
          </w:p>
        </w:tc>
        <w:tc>
          <w:tcPr>
            <w:tcW w:w="30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对零基础用户的核心障碍</w:t>
            </w:r>
          </w:p>
        </w:tc>
      </w:tr>
      <w:tr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财务软件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柠檬云、好会计、精斗云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0—2000 元/年</w:t>
            </w:r>
          </w:p>
        </w:tc>
        <w:tc>
          <w:tcPr>
            <w:tcW w:w="3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以凭证、科目为核心交互，前提是用户看得懂会计语言</w:t>
            </w:r>
          </w:p>
        </w:tc>
      </w:tr>
      <w:tr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代理记账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各地代账公司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约 1200—3600 元/年</w:t>
            </w:r>
          </w:p>
        </w:tc>
        <w:tc>
          <w:tcPr>
            <w:tcW w:w="3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低价竞争导致服务缩水，店主对自己的账始终不知情</w:t>
            </w:r>
          </w:p>
        </w:tc>
      </w:tr>
      <w:tr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自助申报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电子税务局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免费</w:t>
            </w:r>
          </w:p>
        </w:tc>
        <w:tc>
          <w:tcPr>
            <w:tcW w:w="3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需自行理解税种、申报表与优惠政策，门槛最高</w:t>
            </w:r>
          </w:p>
        </w:tc>
      </w:tr>
    </w:tbl>
    <w:p>
      <w:r>
        <w:t>三类供给的交叉点形成一个明确空档：懂软件的公司在为会计做产品，懂个体户的服务商在赚人工差价，没有人用 AI 把“记账”这个环节从用户的任务清单里彻底删掉。这正是零账要占据的位置。</w:t>
      </w:r>
    </w:p>
    <w:p>
      <w:pPr>
        <w:pStyle w:val="Heading2"/>
      </w:pPr>
      <w:r>
        <w:t>2.4 政策与技术环境</w:t>
      </w:r>
    </w:p>
    <w:p>
      <w:r>
        <w:t>政策侧，两项红利显著降低了个体户税负，也提高了规则引擎的价值：小规模纳税人月销售额 10 万元以下免征增值税、个体工商户年应纳税所得额 200 万元以内部分减半征收个人所得税，两项政策均已延续执行至 2027 年底（具体以国家税务总局最新公告为准）。问题在于，绝大多数店主并不知道这些政策，更不知道自己是否用足了优惠——这恰恰是 AI 可以自动完成的工作。</w:t>
      </w:r>
    </w:p>
    <w:p>
      <w:r>
        <w:t>技术侧，数电票的全面推广让“票”变成结构化数据，金税四期让税务机关掌握越来越完整的经营数据。对个体户而言，合规透明度的提高意味着“糊涂账”的风险急剧上升；对产品而言，数据电子化意味着自动记账的数据基础已经完备。</w:t>
      </w:r>
    </w:p>
    <w:p>
      <w:pPr>
        <w:spacing w:before="120" w:after="200"/>
      </w:pPr>
      <w:r>
        <w:rPr>
          <w:rFonts w:ascii="Calibri" w:hAnsi="Calibri" w:eastAsia="Microsoft YaHei"/>
          <w:color w:val="8FA79E"/>
          <w:sz w:val="18"/>
        </w:rPr>
        <w:t>注：本章数据来自公开市场资料与行业调研整理，用于产品决策参考，不作为对外发布依据；涉及税收政策的内容以主管税务机关最新公告为准。</w:t>
      </w:r>
    </w:p>
    <w:p>
      <w:pPr>
        <w:pStyle w:val="Heading1"/>
      </w:pPr>
      <w:r>
        <w:t>三、目标用户与使用场景</w:t>
      </w:r>
      <w:bookmarkStart w:name="_Toc003" w:id="4"/>
      <w:bookmarkEnd w:id="4"/>
    </w:p>
    <w:p>
      <w:pPr>
        <w:pStyle w:val="Heading2"/>
      </w:pPr>
      <w:r>
        <w:t>3.1 用户画像</w:t>
      </w:r>
    </w:p>
    <w:p>
      <w:r>
        <w:t>产品的目标用户可归纳为四类典型画像：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800"/>
        <w:gridCol w:w="2600"/>
        <w:gridCol w:w="2500"/>
        <w:gridCol w:w="2100"/>
      </w:tblGrid>
      <w:tr>
        <w:trPr>
          <w:tblHeader/>
        </w:trPr>
        <w:tc>
          <w:tcPr>
            <w:tcW w:w="18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画像</w:t>
            </w:r>
          </w:p>
        </w:tc>
        <w:tc>
          <w:tcPr>
            <w:tcW w:w="26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典型特征</w:t>
            </w:r>
          </w:p>
        </w:tc>
        <w:tc>
          <w:tcPr>
            <w:tcW w:w="2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数据分布</w:t>
            </w:r>
          </w:p>
        </w:tc>
        <w:tc>
          <w:tcPr>
            <w:tcW w:w="21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核心诉求</w:t>
            </w:r>
          </w:p>
        </w:tc>
      </w:tr>
      <w:tr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电商个体户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淘宝/拼多多/抖音店主，收入全部线上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平台订单+支付流水为主，票据少</w:t>
            </w:r>
          </w:p>
        </w:tc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流水自动变账，别漏报</w:t>
            </w:r>
          </w:p>
        </w:tc>
      </w:tr>
      <w:tr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餐饮零售店主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夫妻店，线上线下混合收款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票据多而杂，流水分散</w:t>
            </w:r>
          </w:p>
        </w:tc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拍照就完事，知道赚了多少</w:t>
            </w:r>
          </w:p>
        </w:tc>
      </w:tr>
      <w:tr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自由职业/工作室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设计、摄影、咨询、培训，收入不规律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合同收款+平台结算</w:t>
            </w:r>
          </w:p>
        </w:tc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收入自动归类，汇算清缴提醒</w:t>
            </w:r>
          </w:p>
        </w:tc>
      </w:tr>
      <w:tr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社区服务店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理发、维修、家政，扫码与现金混合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收款码流水为主，几乎无票据</w:t>
            </w:r>
          </w:p>
        </w:tc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极简，别让我学任何东西</w:t>
            </w:r>
          </w:p>
        </w:tc>
      </w:tr>
    </w:tbl>
    <w:p>
      <w:r>
        <w:t>四类画像的共同点：没有专职会计、没有财务背景、经营数据分散在多个支付与交易平台、对税务既无兴趣也无能力管理。差异点在于征收方式和数据分布，这决定了产品初始化时必须首先识别用户类型。</w:t>
      </w:r>
    </w:p>
    <w:p>
      <w:pPr>
        <w:pStyle w:val="Heading2"/>
      </w:pPr>
      <w:r>
        <w:t>3.2 两种征收方式：产品设计的分水岭</w:t>
      </w:r>
    </w:p>
    <w:p>
      <w:r>
        <w:t>个体工商户的征税方式分为核定征收与查账征收两种。核定征收由税务机关按核定额度或应税所得率征税，账务要求低，AI 的任务重点是“按时、按额、用足优惠”；查账征收要求建立账簿、按实际利润纳税，AI 的任务重点是“票据归集、成本费用归集、准确算税”。</w:t>
      </w:r>
    </w:p>
    <w:p>
      <w:r>
        <w:t>产品初始化时通过 3—5 个业务问题（例如“税务局是怎么给您定税的？”）自动判断用户的征收方式，并据此启用两套完全不同的自动化路径。用户全程不需要知道“核定”“查账”这两个词。</w:t>
      </w:r>
    </w:p>
    <w:p>
      <w:pPr>
        <w:pStyle w:val="Heading2"/>
      </w:pPr>
      <w:r>
        <w:t>3.3 核心使用场景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日常场景（零操作）——</w:t>
      </w:r>
      <w:r>
        <w:t>收款、进货、开票数据自动归集；每月 1 日收到一份“人话版”经营小结。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季末场景（3 分钟）——</w:t>
      </w:r>
      <w:r>
        <w:t>AI 汇总当季数据、计算税额、预填申报表；用户逐项确认后一键提交，回执自动归档。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年度场景——</w:t>
      </w:r>
      <w:r>
        <w:t>经营所得汇算清缴与工商年报自动预填，一键办结。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异常场景——</w:t>
      </w:r>
      <w:r>
        <w:t>免税额度即将用尽、收入异常波动、发票风险，AI 主动推送并给出处理建议。</w:t>
      </w:r>
    </w:p>
    <w:p>
      <w:pPr>
        <w:pStyle w:val="Heading1"/>
      </w:pPr>
      <w:r>
        <w:t>四、产品总体方案</w:t>
      </w:r>
      <w:bookmarkStart w:name="_Toc004" w:id="5"/>
      <w:bookmarkEnd w:id="5"/>
    </w:p>
    <w:p>
      <w:pPr>
        <w:pStyle w:val="Heading2"/>
      </w:pPr>
      <w:r>
        <w:t>4.1 总体架构</w:t>
      </w:r>
    </w:p>
    <w:p>
      <w:r>
        <w:t>产品自下而上分为四层：数据采集层负责“数据进来”，AI 引擎层负责“看懂并算准”，申报执行层负责“报出去”，交互层负责“让人放心”。数据向上流动、确认指令向下传递——除交互层外，用户在任何一层都不需要操作。</w:t>
      </w:r>
    </w:p>
    <w:p>
      <w:pPr>
        <w:keepNext/>
        <w:spacing w:before="200" w:after="80"/>
        <w:ind w:firstLine="0"/>
        <w:jc w:val="center"/>
      </w:pPr>
      <w:r>
        <w:drawing>
          <wp:inline distT="0" distB="0" distL="0" distR="0">
            <wp:extent cx="5400000" cy="3365606"/>
            <wp:effectExtent l="0" t="0" r="0" b="0"/>
            <wp:docPr id="2" name="Architectur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014b7b9886334cdc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656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图 1：产品总体架构（数据自动上行，确认指令下行）</w:t>
      </w:r>
    </w:p>
    <w:p>
      <w:pPr>
        <w:pStyle w:val="Heading2"/>
      </w:pPr>
      <w:r>
        <w:t>4.2 核心设计原则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自动化是默认路径，人工是例外——</w:t>
      </w:r>
      <w:r>
        <w:t>任何一个需要用户输入的环节，必须先回答“AI 能不能自动完成”——不能，才降级为“用户一键确认”；再不能，才降级为“用户输入”。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只问业务问题，不问会计问题——</w:t>
      </w:r>
      <w:r>
        <w:t>“这笔钱是进货还是交房租？”可以问；“记在哪个科目？”永远不问。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每一次自动处理都可追溯——</w:t>
      </w:r>
      <w:r>
        <w:t>AI 的每一个分类、每一笔账、每一项税额计算都保留依据链，用户和监管随时可以查看“这笔账是怎么来的”。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以申报成功为终点——</w:t>
      </w:r>
      <w:r>
        <w:t>产品的完成标志不是“账记完了”，而是“申报提交成功、回执已归档”。</w:t>
      </w:r>
    </w:p>
    <w:p>
      <w:pPr>
        <w:pStyle w:val="Heading2"/>
      </w:pPr>
      <w:r>
        <w:t>4.3 用户旅程</w:t>
      </w:r>
    </w:p>
    <w:p>
      <w:r>
        <w:t>用户从注册到年度办结的完整旅程如下：注册认证（实名+营业执照 OCR 录入）→ 初始化（自动判断征收方式与经营品类）→ 授权数据源（一次授权，持续同步）→ 日常零操作 → 季度确认申报 → 年度办结；次年自动进入新的申报周期，历史账簿持续累积，形成用户的长期经营档案。</w:t>
      </w:r>
    </w:p>
    <w:p>
      <w:pPr>
        <w:keepNext/>
        <w:spacing w:before="200" w:after="80"/>
        <w:ind w:firstLine="0"/>
        <w:jc w:val="center"/>
      </w:pPr>
      <w:r>
        <w:drawing>
          <wp:inline distT="0" distB="0" distL="0" distR="0">
            <wp:extent cx="5400000" cy="1531805"/>
            <wp:effectExtent l="0" t="0" r="0" b="0"/>
            <wp:docPr id="3" name="Journe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ourney.png"/>
                    <pic:cNvPicPr/>
                  </pic:nvPicPr>
                  <pic:blipFill>
                    <a:blip r:embed="R2f21af03ea0844c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318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图 2：用户旅程（从注册到年度办结的完整闭环）</w:t>
      </w:r>
    </w:p>
    <w:p>
      <w:pPr>
        <w:pStyle w:val="Heading1"/>
      </w:pPr>
      <w:r>
        <w:t>五、核心功能详述</w:t>
      </w:r>
      <w:bookmarkStart w:name="_Toc005" w:id="6"/>
      <w:bookmarkEnd w:id="6"/>
    </w:p>
    <w:p>
      <w:pPr>
        <w:pStyle w:val="Heading2"/>
      </w:pPr>
      <w:r>
        <w:t>5.1 数据采集层</w:t>
      </w:r>
    </w:p>
    <w:p>
      <w:r>
        <w:t>设计目标：覆盖个体户 95% 以上的经营数据来源，任一数据源接入后用户无需重复操作。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900"/>
        <w:gridCol w:w="2500"/>
        <w:gridCol w:w="2700"/>
        <w:gridCol w:w="1900"/>
      </w:tblGrid>
      <w:tr>
        <w:trPr>
          <w:tblHeader/>
        </w:trPr>
        <w:tc>
          <w:tcPr>
            <w:tcW w:w="19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功能</w:t>
            </w:r>
          </w:p>
        </w:tc>
        <w:tc>
          <w:tcPr>
            <w:tcW w:w="2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覆盖场景</w:t>
            </w:r>
          </w:p>
        </w:tc>
        <w:tc>
          <w:tcPr>
            <w:tcW w:w="27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技术要点</w:t>
            </w:r>
          </w:p>
        </w:tc>
        <w:tc>
          <w:tcPr>
            <w:tcW w:w="19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自动化程度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拍照识票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纸质发票、收据、进货单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OCR+票据版面理解</w:t>
            </w:r>
          </w:p>
        </w:tc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全自动，低置信度转确认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数电票同步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开具与收到的数电票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税务数字账户授权同步</w:t>
            </w:r>
          </w:p>
        </w:tc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全自动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支付流水导入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微信、支付宝商户流水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官方账单授权接入</w:t>
            </w:r>
          </w:p>
        </w:tc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全自动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银行账户同步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对公/经营账户流水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开放银行授权</w:t>
            </w:r>
          </w:p>
        </w:tc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全自动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电商平台对接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淘宝、拼多多、抖音订单与结算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平台开放平台授权</w:t>
            </w:r>
          </w:p>
        </w:tc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全自动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语音记账（兜底）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无票据支出、现金交易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语音转结构化记录</w:t>
            </w:r>
          </w:p>
        </w:tc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半自动，说一句即可</w:t>
            </w:r>
          </w:p>
        </w:tc>
      </w:tr>
    </w:tbl>
    <w:p>
      <w:pPr>
        <w:pStyle w:val="Heading2"/>
      </w:pPr>
      <w:r>
        <w:t>5.2 AI 记账引擎</w:t>
      </w:r>
    </w:p>
    <w:p>
      <w:r>
        <w:t>引擎是产品的心脏，由六个模块构成。引擎设计的第一铁律是：生成式 AI 负责理解，确定性规则负责计算——税额、税率、期限永远由规则引擎计算，大模型只参与分类与理解，从机制上杜绝“AI 算错税”。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700"/>
        <w:gridCol w:w="2800"/>
        <w:gridCol w:w="2500"/>
        <w:gridCol w:w="2000"/>
      </w:tblGrid>
      <w:tr>
        <w:trPr>
          <w:tblHeader/>
        </w:trPr>
        <w:tc>
          <w:tcPr>
            <w:tcW w:w="17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模块</w:t>
            </w:r>
          </w:p>
        </w:tc>
        <w:tc>
          <w:tcPr>
            <w:tcW w:w="28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职责</w:t>
            </w:r>
          </w:p>
        </w:tc>
        <w:tc>
          <w:tcPr>
            <w:tcW w:w="2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实现方式</w:t>
            </w:r>
          </w:p>
        </w:tc>
        <w:tc>
          <w:tcPr>
            <w:tcW w:w="20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置信度兜底</w:t>
            </w:r>
          </w:p>
        </w:tc>
      </w:tr>
      <w:tr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票据识别</w:t>
            </w:r>
          </w:p>
        </w:tc>
        <w:tc>
          <w:tcPr>
            <w:tcW w:w="2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提取金额、日期、对方、品目等关键字段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多模态 OCR+票据版面模型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目标准确率≥99%，低置信字段高亮请用户确认</w:t>
            </w:r>
          </w:p>
        </w:tc>
      </w:tr>
      <w:tr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智能分类</w:t>
            </w:r>
          </w:p>
        </w:tc>
        <w:tc>
          <w:tcPr>
            <w:tcW w:w="2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判断每笔交易的业务实质（进货/房租/工资/销售收入）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大模型+行业知识库+用户习惯微调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不确定时以业务问题向用户确认</w:t>
            </w:r>
          </w:p>
        </w:tc>
      </w:tr>
      <w:tr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自动凭证生成</w:t>
            </w:r>
          </w:p>
        </w:tc>
        <w:tc>
          <w:tcPr>
            <w:tcW w:w="2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在后台生成标准会计凭证与账簿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规则引擎按会计准则映射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对用户不可见，仅供备查与导出</w:t>
            </w:r>
          </w:p>
        </w:tc>
      </w:tr>
      <w:tr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税务规则引擎</w:t>
            </w:r>
          </w:p>
        </w:tc>
        <w:tc>
          <w:tcPr>
            <w:tcW w:w="2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按征收方式、税种、地区计算应纳税额并映射申报表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100% 确定性规则，政策库按月更新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不使用生成式模型计算税额</w:t>
            </w:r>
          </w:p>
        </w:tc>
      </w:tr>
      <w:tr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优惠政策匹配</w:t>
            </w:r>
          </w:p>
        </w:tc>
        <w:tc>
          <w:tcPr>
            <w:tcW w:w="2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测算免税额度使用进度与减半征收适用情况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规则引擎+经营数据实时测算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额度将尽时主动预警</w:t>
            </w:r>
          </w:p>
        </w:tc>
      </w:tr>
      <w:tr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异常检测</w:t>
            </w:r>
          </w:p>
        </w:tc>
        <w:tc>
          <w:tcPr>
            <w:tcW w:w="2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收入异常波动、进销不匹配、发票风险</w:t>
            </w:r>
          </w:p>
        </w:tc>
        <w:tc>
          <w:tcPr>
            <w:tcW w:w="2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统计模型+税务风控规则</w:t>
            </w:r>
          </w:p>
        </w:tc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发现即推送，附处理建议</w:t>
            </w:r>
          </w:p>
        </w:tc>
      </w:tr>
    </w:tbl>
    <w:p>
      <w:pPr>
        <w:pStyle w:val="Heading2"/>
      </w:pPr>
      <w:r>
        <w:t>5.3 报税执行层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申报日历——</w:t>
      </w:r>
      <w:r>
        <w:t>自动跟踪增值税、附加税、经营所得个税的申报期限，逾期前分级提醒（提前 7 天、3 天、1 天）。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一键申报——</w:t>
      </w:r>
      <w:r>
        <w:t>AI 预填申报表，用户确认后通过电子税务局接口或 RPA 自动提交，回执自动归档，全流程平均约 3 分钟。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工商年报——</w:t>
      </w:r>
      <w:r>
        <w:t>每年 6 月底前自动预填年报信息，一键提交。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汇算清缴——</w:t>
      </w:r>
      <w:r>
        <w:t>年度终了后自动归集全年经营数据，预填经营所得汇算清缴表。</w:t>
      </w:r>
    </w:p>
    <w:p>
      <w:pPr>
        <w:pStyle w:val="Heading2"/>
      </w:pPr>
      <w:r>
        <w:t>5.4 交互层</w:t>
      </w:r>
    </w:p>
    <w:p>
      <w:r>
        <w:t>仪表盘只回答三个问题：这个月赚了多少钱？要交多少税？离免税额度还差多少？所有界面文案经过“零基础测试”，由非财务背景的真实店主验证可理解性。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消息式交互——</w:t>
      </w:r>
      <w:r>
        <w:t>AI 以消息推送形式主动服务（“3 张票据需要您确认”“本季免税额度还剩 4.2 万元”），用户不需要主动打开报表。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月度经营小结——</w:t>
      </w:r>
      <w:r>
        <w:t>每月 1 日推送人话版小结：收入、成本、利润、税额、同比变化，外加一条经营建议。</w:t>
      </w:r>
    </w:p>
    <w:p>
      <w:pPr>
        <w:pStyle w:val="Heading2"/>
      </w:pPr>
      <w:r>
        <w:t>5.5 功能优先级与 MVP 范围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900"/>
        <w:gridCol w:w="4400"/>
        <w:gridCol w:w="2700"/>
      </w:tblGrid>
      <w:tr>
        <w:trPr>
          <w:tblHeader/>
        </w:trPr>
        <w:tc>
          <w:tcPr>
            <w:tcW w:w="19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优先级</w:t>
            </w:r>
          </w:p>
        </w:tc>
        <w:tc>
          <w:tcPr>
            <w:tcW w:w="44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功能</w:t>
            </w:r>
          </w:p>
        </w:tc>
        <w:tc>
          <w:tcPr>
            <w:tcW w:w="27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取舍理由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Must（必做）</w:t>
            </w:r>
          </w:p>
        </w:tc>
        <w:tc>
          <w:tcPr>
            <w:tcW w:w="44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拍照识票、流水导入、智能分类、增值税与经营所得一键申报、申报日历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构成“记账到报税”最小闭环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Should（应做）</w:t>
            </w:r>
          </w:p>
        </w:tc>
        <w:tc>
          <w:tcPr>
            <w:tcW w:w="44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数电票同步、优惠政策匹配、工商年报、异常检测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决定自动化率与留存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Could（可做）</w:t>
            </w:r>
          </w:p>
        </w:tc>
        <w:tc>
          <w:tcPr>
            <w:tcW w:w="44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电商平台对接、语音记账、月度小结、汇算清缴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按数据源与人群逐步开放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Won't（首年不做）</w:t>
            </w:r>
          </w:p>
        </w:tc>
        <w:tc>
          <w:tcPr>
            <w:tcW w:w="44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发票开具、多门店管理、员工薪资、进销存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避免战线过长，保持单品锐利度</w:t>
            </w:r>
          </w:p>
        </w:tc>
      </w:tr>
    </w:tbl>
    <w:p>
      <w:pPr>
        <w:pStyle w:val="Heading1"/>
      </w:pPr>
      <w:r>
        <w:t>六、AI 技术方案</w:t>
      </w:r>
      <w:bookmarkStart w:name="_Toc006" w:id="7"/>
      <w:bookmarkEnd w:id="7"/>
    </w:p>
    <w:p>
      <w:pPr>
        <w:pStyle w:val="Heading2"/>
      </w:pPr>
      <w:r>
        <w:t>6.1 三层协同架构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感知层——</w:t>
      </w:r>
      <w:r>
        <w:t>多模态 OCR 与票据版面理解模型，负责“看清票据”。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认知层——</w:t>
      </w:r>
      <w:r>
        <w:t>大语言模型+行业知识库，负责“看懂业务”：分类、归集、人话生成。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规则层——</w:t>
      </w:r>
      <w:r>
        <w:t>税务规则引擎与会计准则映射表，负责“算准账、算准税”，全部确定性计算。</w:t>
      </w:r>
    </w:p>
    <w:p>
      <w:r>
        <w:t>三层之间以结构化数据交接，认知层的任何输出必须经过规则层校验后才能进入账簿与申报表。这保证了系统既有大模型的理解力，又有财务软件的确定性。</w:t>
      </w:r>
    </w:p>
    <w:p>
      <w:pPr>
        <w:pStyle w:val="Heading2"/>
      </w:pPr>
      <w:r>
        <w:t>6.2 置信度分级与人机协同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900"/>
        <w:gridCol w:w="4400"/>
        <w:gridCol w:w="2700"/>
      </w:tblGrid>
      <w:tr>
        <w:trPr>
          <w:tblHeader/>
        </w:trPr>
        <w:tc>
          <w:tcPr>
            <w:tcW w:w="19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置信度</w:t>
            </w:r>
          </w:p>
        </w:tc>
        <w:tc>
          <w:tcPr>
            <w:tcW w:w="44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处理方式</w:t>
            </w:r>
          </w:p>
        </w:tc>
        <w:tc>
          <w:tcPr>
            <w:tcW w:w="27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用户体验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高（≥98%）</w:t>
            </w:r>
          </w:p>
        </w:tc>
        <w:tc>
          <w:tcPr>
            <w:tcW w:w="44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自动入账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用户无感知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中（80%—98%）</w:t>
            </w:r>
          </w:p>
        </w:tc>
        <w:tc>
          <w:tcPr>
            <w:tcW w:w="44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生成待确认项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消息流中一键确认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低（&lt;80%）</w:t>
            </w:r>
          </w:p>
        </w:tc>
        <w:tc>
          <w:tcPr>
            <w:tcW w:w="44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转人工会计师复核（与持牌机构合作）</w:t>
            </w:r>
          </w:p>
        </w:tc>
        <w:tc>
          <w:tcPr>
            <w:tcW w:w="2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结果自动回写，用户仅需知晓</w:t>
            </w:r>
          </w:p>
        </w:tc>
      </w:tr>
    </w:tbl>
    <w:p>
      <w:r>
        <w:t>人工复核数据全部回流为训练样本，形成“用得越多、自动化率越高”的数据飞轮。上线初期零干预记账率目标 85%，12 个月内提升至 90% 以上。</w:t>
      </w:r>
    </w:p>
    <w:p>
      <w:pPr>
        <w:pStyle w:val="Heading2"/>
      </w:pPr>
      <w:r>
        <w:t>6.3 数据安全与隐私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加密与隔离——</w:t>
      </w:r>
      <w:r>
        <w:t>传输与存储全程加密，财务数据单独加密分区存储。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最小授权——</w:t>
      </w:r>
      <w:r>
        <w:t>所有数据接入明示用途，用户可随时撤销授权、导出与删除数据。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安全标准——</w:t>
      </w:r>
      <w:r>
        <w:t>按网络安全等级保护三级标准建设。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数据归属——</w:t>
      </w:r>
      <w:r>
        <w:t>数据归属用户，平台不出售、不用于与产品无关的用途。</w:t>
      </w:r>
    </w:p>
    <w:p>
      <w:pPr>
        <w:pStyle w:val="Heading2"/>
      </w:pPr>
      <w:r>
        <w:t>6.4 电子税务局对接路径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优先——</w:t>
      </w:r>
      <w:r>
        <w:t>各省电子税务局官方接口与授权通道。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兜底——</w:t>
      </w:r>
      <w:r>
        <w:t>在用户授权下以 RPA 模拟登录完成申报提交，全程留痕。</w:t>
      </w:r>
    </w:p>
    <w:p>
      <w:pPr>
        <w:ind w:left="460" w:hanging="260" w:firstLine="0"/>
      </w:pPr>
      <w:r>
        <w:rPr>
          <w:b/>
          <w:color w:val="C2A059"/>
        </w:rPr>
        <w:t xml:space="preserve">▪ </w:t>
      </w:r>
      <w:r>
        <w:rPr>
          <w:b/>
          <w:color w:val="1D4A41"/>
        </w:rPr>
        <w:t>合作——</w:t>
      </w:r>
      <w:r>
        <w:t>与持牌代理记账机构共建复核与申报通道，分摊资质与责任。</w:t>
      </w:r>
    </w:p>
    <w:p>
      <w:pPr>
        <w:pStyle w:val="Heading1"/>
      </w:pPr>
      <w:r>
        <w:t>七、竞品对比与差异化</w:t>
      </w:r>
      <w:bookmarkStart w:name="_Toc007" w:id="8"/>
      <w:bookmarkEnd w:id="8"/>
    </w:p>
    <w:p>
      <w:pPr>
        <w:pStyle w:val="Heading2"/>
      </w:pPr>
      <w:r>
        <w:t>7.1 竞品全景对比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2100"/>
        <w:gridCol w:w="2300"/>
        <w:gridCol w:w="2300"/>
        <w:gridCol w:w="2300"/>
      </w:tblGrid>
      <w:tr>
        <w:trPr>
          <w:tblHeader/>
        </w:trPr>
        <w:tc>
          <w:tcPr>
            <w:tcW w:w="21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产品</w:t>
            </w:r>
          </w:p>
        </w:tc>
        <w:tc>
          <w:tcPr>
            <w:tcW w:w="23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价格区间</w:t>
            </w:r>
          </w:p>
        </w:tc>
        <w:tc>
          <w:tcPr>
            <w:tcW w:w="23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记账方式</w:t>
            </w:r>
          </w:p>
        </w:tc>
        <w:tc>
          <w:tcPr>
            <w:tcW w:w="23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对零基础用户的核心障碍</w:t>
            </w:r>
          </w:p>
        </w:tc>
      </w:tr>
      <w:tr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柠檬云财务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免费（专业版 498 元/年起）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手动录入+辅助识别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界面围绕凭证与科目，需要会计基础</w:t>
            </w:r>
          </w:p>
        </w:tc>
      </w:tr>
      <w:tr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畅捷通好会计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498—1980 元/年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手动+半自动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功能全面但学习成本高，仍属会计视角</w:t>
            </w:r>
          </w:p>
        </w:tc>
      </w:tr>
      <w:tr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金蝶精斗云/AI 星辰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798—4000 元/年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拍照识别+一键申报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个体户版价格高，产品逻辑仍是财务软件</w:t>
            </w:r>
          </w:p>
        </w:tc>
      </w:tr>
      <w:tr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代理记账公司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约 1200—3600 元/年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全外包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服务质量不稳定，店主对账目不知情</w:t>
            </w:r>
          </w:p>
        </w:tc>
      </w:tr>
      <w:tr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零账（本产品）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0—699 元/年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全自动（AI 归集+确认制）</w:t>
            </w:r>
          </w:p>
        </w:tc>
        <w:tc>
          <w:tcPr>
            <w:tcW w:w="2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无——按零基础设计</w:t>
            </w:r>
          </w:p>
        </w:tc>
      </w:tr>
    </w:tbl>
    <w:p>
      <w:pPr>
        <w:pStyle w:val="Heading2"/>
      </w:pPr>
      <w:r>
        <w:t>7.2 差异化定位</w:t>
      </w:r>
    </w:p>
    <w:p>
      <w:r>
        <w:t>与所有财务软件相比，零账的差异不是“功能更多”或“价格更低”，而是自动化程度的代际差：现有产品是“让用户更快地记账”，零账是“让用户不记账”。这条赛道里，柠檬云以“永久免费”积累了超 500 万用户，正面拼功能与价格没有出路；但免费软件依然要求用户懂会计，这正是它们无法转身的原因——产品基因决定了服务对象。</w:t>
      </w:r>
    </w:p>
    <w:p>
      <w:r>
        <w:t>与代账公司相比，零账把服务成本从人工降到 AI，价格仅为代账的三分之一到十分之一，且账目全程透明可查，解决了代账最大的信任问题。</w:t>
      </w:r>
    </w:p>
    <w:p>
      <w:r>
        <w:t>竞争壁垒随时间加深：行业知识库、用户确认数据、税务规则库与申报通过率构成复利型数据资产。后来者即使用同样的价格入场，也无法复制同样的自动化率。</w:t>
      </w:r>
    </w:p>
    <w:p>
      <w:pPr>
        <w:pStyle w:val="Heading1"/>
      </w:pPr>
      <w:r>
        <w:t>八、商业模式与定价</w:t>
      </w:r>
      <w:bookmarkStart w:name="_Toc008" w:id="9"/>
      <w:bookmarkEnd w:id="9"/>
    </w:p>
    <w:p>
      <w:pPr>
        <w:pStyle w:val="Heading2"/>
      </w:pPr>
      <w:r>
        <w:t>8.1 商业模式</w:t>
      </w:r>
    </w:p>
    <w:p>
      <w:r>
        <w:t>模式概括为“记账免费、报税收费”：记账全功能永久免费，作为获客与数据入口；以“报税结果”收费——用户为确定性结果（申报成功、优惠用足、风险无忧）付费，而不是为软件功能付费。这与财务软件的“功能订阅”和代账公司的“人工外包”形成第三种收费逻辑。</w:t>
      </w:r>
    </w:p>
    <w:p>
      <w:pPr>
        <w:pStyle w:val="Heading2"/>
      </w:pPr>
      <w:r>
        <w:t>8.2 定价方案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500"/>
        <w:gridCol w:w="1700"/>
        <w:gridCol w:w="4000"/>
        <w:gridCol w:w="1800"/>
      </w:tblGrid>
      <w:tr>
        <w:trPr>
          <w:tblHeader/>
        </w:trPr>
        <w:tc>
          <w:tcPr>
            <w:tcW w:w="1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版本</w:t>
            </w:r>
          </w:p>
        </w:tc>
        <w:tc>
          <w:tcPr>
            <w:tcW w:w="17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价格</w:t>
            </w:r>
          </w:p>
        </w:tc>
        <w:tc>
          <w:tcPr>
            <w:tcW w:w="40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包含内容</w:t>
            </w:r>
          </w:p>
        </w:tc>
        <w:tc>
          <w:tcPr>
            <w:tcW w:w="18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适合人群</w:t>
            </w:r>
          </w:p>
        </w:tc>
      </w:tr>
      <w:tr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免费版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0 元</w:t>
            </w:r>
          </w:p>
        </w:tc>
        <w:tc>
          <w:tcPr>
            <w:tcW w:w="4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全自动记账、月度小结、申报日历、风险提醒</w:t>
            </w:r>
          </w:p>
        </w:tc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全部个体户</w:t>
            </w:r>
          </w:p>
        </w:tc>
      </w:tr>
      <w:tr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报税版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365 元/年</w:t>
            </w:r>
          </w:p>
        </w:tc>
        <w:tc>
          <w:tcPr>
            <w:tcW w:w="4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另含 4 次季度一键申报、工商年报、优惠测算</w:t>
            </w:r>
          </w:p>
        </w:tc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核定征收户</w:t>
            </w:r>
          </w:p>
        </w:tc>
      </w:tr>
      <w:tr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旗舰版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699 元/年</w:t>
            </w:r>
          </w:p>
        </w:tc>
        <w:tc>
          <w:tcPr>
            <w:tcW w:w="4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另含汇算清缴、人工会计师复核、年度税务体检</w:t>
            </w:r>
          </w:p>
        </w:tc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查账征收户</w:t>
            </w:r>
          </w:p>
        </w:tc>
      </w:tr>
      <w:tr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单次申报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39 元/次</w:t>
            </w:r>
          </w:p>
        </w:tc>
        <w:tc>
          <w:tcPr>
            <w:tcW w:w="4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单次季度申报</w:t>
            </w:r>
          </w:p>
        </w:tc>
        <w:tc>
          <w:tcPr>
            <w:tcW w:w="18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低频与试用用户</w:t>
            </w:r>
          </w:p>
        </w:tc>
      </w:tr>
    </w:tbl>
    <w:p>
      <w:pPr>
        <w:pStyle w:val="Heading2"/>
      </w:pPr>
      <w:r>
        <w:t>8.3 定价逻辑与单位经济</w:t>
      </w:r>
    </w:p>
    <w:p>
      <w:r>
        <w:t>定价锚点是代账费用（约 1200—3600 元/年）与机会成本（每季半天跑腿加漏报罚款风险）。报税版定价约为代账下限的三分之一，旗舰版约为二分之一到五分之一，处于“明显比代账便宜、明显高于免费软件”的价值空档。“每天 1 元，报税不操心”是对外传播的核心话术。</w:t>
      </w:r>
    </w:p>
    <w:p>
      <w:r>
        <w:t>增值服务自第二年启动：发票开具服务、税务咨询转介、面向优质经营数据用户的金融服务导流。单位经济目标：获客成本 CAC 不高于 150 元，用户生命周期价值 LTV 不低于 800 元，LTV/CAC 不低于 5。</w:t>
      </w:r>
    </w:p>
    <w:p>
      <w:pPr>
        <w:pStyle w:val="Heading1"/>
      </w:pPr>
      <w:r>
        <w:t>九、合规与风险控制</w:t>
      </w:r>
      <w:bookmarkStart w:name="_Toc009" w:id="10"/>
      <w:bookmarkEnd w:id="10"/>
    </w:p>
    <w:p>
      <w:pPr>
        <w:pStyle w:val="Heading2"/>
      </w:pPr>
      <w:r>
        <w:t>9.1 业务与资质边界</w:t>
      </w:r>
    </w:p>
    <w:p>
      <w:r>
        <w:t>零账的法律定位是“工具软件”而非“代理记账机构”：账簿由 AI 生成、由用户确认，平台不以自身名义为客户代理记账。涉及人工复核的环节，与持有代理记账许可的机构合作，由持牌方出具复核意见。产品不承诺任何“节税”效果、不提供税收筹划服务，避免滑向涉税违规。</w:t>
      </w:r>
    </w:p>
    <w:p>
      <w:pPr>
        <w:pStyle w:val="Heading2"/>
      </w:pPr>
      <w:r>
        <w:t>9.2 数据合规</w:t>
      </w:r>
    </w:p>
    <w:p>
      <w:r>
        <w:t>财务数据属于高敏感数据。产品严格遵循《个人信息保护法》《数据安全法》，落实最小授权、明示同意、可撤销、可删除；涉及税务数字账户、银行账户等授权接入，全部采用官方授权协议并留存授权凭证。</w:t>
      </w:r>
    </w:p>
    <w:p>
      <w:pPr>
        <w:pStyle w:val="Heading2"/>
      </w:pPr>
      <w:r>
        <w:t>9.3 责任边界与留痕</w:t>
      </w:r>
    </w:p>
    <w:p>
      <w:r>
        <w:t>申报实行“用户最终确认制”：AI 预填、用户确认、系统提交，每一步全程留痕（数据版本、计算依据、确认记录、申报回执），发生争议时可完整还原。平台为申报数据准确性投保职业责任类保险，并在用户协议中明确责任边界。</w:t>
      </w:r>
    </w:p>
    <w:p>
      <w:pPr>
        <w:pStyle w:val="Heading1"/>
      </w:pPr>
      <w:r>
        <w:t>十、产品路线图</w:t>
      </w:r>
      <w:bookmarkStart w:name="_Toc010" w:id="11"/>
      <w:bookmarkEnd w:id="11"/>
    </w:p>
    <w:p>
      <w:pPr>
        <w:pStyle w:val="Heading2"/>
      </w:pPr>
      <w:r>
        <w:t>10.1 三阶段路线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100"/>
        <w:gridCol w:w="1500"/>
        <w:gridCol w:w="4300"/>
        <w:gridCol w:w="2100"/>
      </w:tblGrid>
      <w:tr>
        <w:trPr>
          <w:tblHeader/>
        </w:trPr>
        <w:tc>
          <w:tcPr>
            <w:tcW w:w="11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阶段</w:t>
            </w:r>
          </w:p>
        </w:tc>
        <w:tc>
          <w:tcPr>
            <w:tcW w:w="1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时间</w:t>
            </w:r>
          </w:p>
        </w:tc>
        <w:tc>
          <w:tcPr>
            <w:tcW w:w="43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核心交付</w:t>
            </w:r>
          </w:p>
        </w:tc>
        <w:tc>
          <w:tcPr>
            <w:tcW w:w="21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验证目标</w:t>
            </w:r>
          </w:p>
        </w:tc>
      </w:tr>
      <w:tr>
        <w:tc>
          <w:tcPr>
            <w:tcW w:w="1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MVP</w:t>
            </w:r>
          </w:p>
        </w:tc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第 0—6 月</w:t>
            </w:r>
          </w:p>
        </w:tc>
        <w:tc>
          <w:tcPr>
            <w:tcW w:w="4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拍照识票+流水导入+智能分类+增值税/经营所得一键申报（3 个试点省份）</w:t>
            </w:r>
          </w:p>
        </w:tc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核定征收户报税完成率≥90%</w:t>
            </w:r>
          </w:p>
        </w:tc>
      </w:tr>
      <w:tr>
        <w:tc>
          <w:tcPr>
            <w:tcW w:w="1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V1</w:t>
            </w:r>
          </w:p>
        </w:tc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第 6—12 月</w:t>
            </w:r>
          </w:p>
        </w:tc>
        <w:tc>
          <w:tcPr>
            <w:tcW w:w="4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数电票同步、优惠政策匹配、工商年报、汇算清缴、电商单平台对接，申报覆盖全国</w:t>
            </w:r>
          </w:p>
        </w:tc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零干预记账率≥90%，付费 1 万户</w:t>
            </w:r>
          </w:p>
        </w:tc>
      </w:tr>
      <w:tr>
        <w:tc>
          <w:tcPr>
            <w:tcW w:w="1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V2</w:t>
            </w:r>
          </w:p>
        </w:tc>
        <w:tc>
          <w:tcPr>
            <w:tcW w:w="1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第 12—24 月</w:t>
            </w:r>
          </w:p>
        </w:tc>
        <w:tc>
          <w:tcPr>
            <w:tcW w:w="43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多平台对接、语音记账、AI 经营顾问、发票开具（合作通道）、开放 API</w:t>
            </w:r>
          </w:p>
        </w:tc>
        <w:tc>
          <w:tcPr>
            <w:tcW w:w="2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付费 5 万户，启动增值服务</w:t>
            </w:r>
          </w:p>
        </w:tc>
      </w:tr>
    </w:tbl>
    <w:p>
      <w:pPr>
        <w:pStyle w:val="Heading2"/>
      </w:pPr>
      <w:r>
        <w:t>10.2 里程碑与资源</w:t>
      </w:r>
    </w:p>
    <w:p>
      <w:r>
        <w:t>MVP 阶段核心团队约 12—15 人：产品 2 人、算法 3 人、后端 3 人、客户端 2 人、财税专家 2 人、运营 1 人。其中财税专家团队负责规则库建设与人工复核质检，是这一阶段不可压缩的投入——产品的可信度最终由他们背书。</w:t>
      </w:r>
    </w:p>
    <w:p>
      <w:pPr>
        <w:pStyle w:val="Heading1"/>
      </w:pPr>
      <w:r>
        <w:t>十一、成功指标体系</w:t>
      </w:r>
      <w:bookmarkStart w:name="_Toc011" w:id="12"/>
      <w:bookmarkEnd w:id="12"/>
    </w:p>
    <w:p>
      <w:pPr>
        <w:pStyle w:val="Heading2"/>
      </w:pPr>
      <w:r>
        <w:t>11.1 北极星指标</w:t>
      </w:r>
    </w:p>
    <w:p>
      <w:r>
        <w:t>北极星指标定为季度报税完成率——当季应申报用户中通过产品完成申报的比例。它同时反映自动化可信度（用户敢不敢让 AI 报）、数据归集完整度（账全不全）和结果价值（报得对不对），是唯一无法被“刷出来”的综合指标。18 个月目标不低于 95%。</w:t>
      </w:r>
    </w:p>
    <w:p>
      <w:pPr>
        <w:pStyle w:val="Heading2"/>
      </w:pPr>
      <w:r>
        <w:t>11.2 关键指标</w:t>
      </w:r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2000"/>
        <w:gridCol w:w="3600"/>
        <w:gridCol w:w="1700"/>
        <w:gridCol w:w="1700"/>
      </w:tblGrid>
      <w:tr>
        <w:trPr>
          <w:tblHeader/>
        </w:trPr>
        <w:tc>
          <w:tcPr>
            <w:tcW w:w="20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指标</w:t>
            </w:r>
          </w:p>
        </w:tc>
        <w:tc>
          <w:tcPr>
            <w:tcW w:w="36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定义</w:t>
            </w:r>
          </w:p>
        </w:tc>
        <w:tc>
          <w:tcPr>
            <w:tcW w:w="17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上线目标</w:t>
            </w:r>
          </w:p>
        </w:tc>
        <w:tc>
          <w:tcPr>
            <w:tcW w:w="17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12 个月目标</w:t>
            </w:r>
          </w:p>
        </w:tc>
      </w:tr>
      <w:tr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零干预记账率</w:t>
            </w:r>
          </w:p>
        </w:tc>
        <w:tc>
          <w:tcPr>
            <w:tcW w:w="3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无需任何用户操作完成入账的交易占比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85%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≥90%</w:t>
            </w:r>
          </w:p>
        </w:tc>
      </w:tr>
      <w:tr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票据识别准确率</w:t>
            </w:r>
          </w:p>
        </w:tc>
        <w:tc>
          <w:tcPr>
            <w:tcW w:w="3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关键字段（金额/日期/税率）识别正确率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99%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≥99.5%</w:t>
            </w:r>
          </w:p>
        </w:tc>
      </w:tr>
      <w:tr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申报成功率</w:t>
            </w:r>
          </w:p>
        </w:tc>
        <w:tc>
          <w:tcPr>
            <w:tcW w:w="3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提交后获得回执且无需更正的比例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99%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≥99.5%</w:t>
            </w:r>
          </w:p>
        </w:tc>
      </w:tr>
      <w:tr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付费转化率</w:t>
            </w:r>
          </w:p>
        </w:tc>
        <w:tc>
          <w:tcPr>
            <w:tcW w:w="3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注册用户转化为付费用户的比例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3%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≥10%</w:t>
            </w:r>
          </w:p>
        </w:tc>
      </w:tr>
      <w:tr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月度留存率</w:t>
            </w:r>
          </w:p>
        </w:tc>
        <w:tc>
          <w:tcPr>
            <w:tcW w:w="3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月度活跃留存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60%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≥75%</w:t>
            </w:r>
          </w:p>
        </w:tc>
      </w:tr>
      <w:tr>
        <w:tc>
          <w:tcPr>
            <w:tcW w:w="20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NPS</w:t>
            </w:r>
          </w:p>
        </w:tc>
        <w:tc>
          <w:tcPr>
            <w:tcW w:w="3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用户净推荐值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30</w:t>
            </w:r>
          </w:p>
        </w:tc>
        <w:tc>
          <w:tcPr>
            <w:tcW w:w="17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≥40</w:t>
            </w:r>
          </w:p>
        </w:tc>
      </w:tr>
    </w:tbl>
    <w:p>
      <w:pPr>
        <w:pStyle w:val="Heading1"/>
      </w:pPr>
      <w:r>
        <w:t>十二、风险分析与应对</w:t>
      </w:r>
      <w:bookmarkStart w:name="_Toc012" w:id="13"/>
      <w:bookmarkEnd w:id="13"/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900"/>
        <w:gridCol w:w="2600"/>
        <w:gridCol w:w="4500"/>
      </w:tblGrid>
      <w:tr>
        <w:trPr>
          <w:tblHeader/>
        </w:trPr>
        <w:tc>
          <w:tcPr>
            <w:tcW w:w="19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风险</w:t>
            </w:r>
          </w:p>
        </w:tc>
        <w:tc>
          <w:tcPr>
            <w:tcW w:w="26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潜在影响</w:t>
            </w:r>
          </w:p>
        </w:tc>
        <w:tc>
          <w:tcPr>
            <w:tcW w:w="45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应对策略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巨头降维打击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柠檬云等以免费策略跟进自动记账</w:t>
            </w:r>
          </w:p>
        </w:tc>
        <w:tc>
          <w:tcPr>
            <w:tcW w:w="4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不做功能竞争，深耕个体户场景与数据飞轮；自动化率与规则库构成时间壁垒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税局接口政策变化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RPA 申报通道受限</w:t>
            </w:r>
          </w:p>
        </w:tc>
        <w:tc>
          <w:tcPr>
            <w:tcW w:w="4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多通道冗余（官方接口+RPA+持牌机构通道）；政策变化也可能利好官方对接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AI 准确率事故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错报漏报导致用户损失</w:t>
            </w:r>
          </w:p>
        </w:tc>
        <w:tc>
          <w:tcPr>
            <w:tcW w:w="4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确定性规则算税+用户确认制+人工复核兜底+责任保险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付费意愿低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转化率不达标</w:t>
            </w:r>
          </w:p>
        </w:tc>
        <w:tc>
          <w:tcPr>
            <w:tcW w:w="4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记账免费、按结果付费；以“不报会被罚”的合规刚需建立付费心智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获客成本高</w:t>
            </w:r>
          </w:p>
        </w:tc>
        <w:tc>
          <w:tcPr>
            <w:tcW w:w="26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CAC 失控</w:t>
            </w:r>
          </w:p>
        </w:tc>
        <w:tc>
          <w:tcPr>
            <w:tcW w:w="45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同商圈老带新裂变、与工商注册代办渠道合作、报税教程内容营销</w:t>
            </w:r>
          </w:p>
        </w:tc>
      </w:tr>
    </w:tbl>
    <w:p>
      <w:pPr>
        <w:pStyle w:val="Heading1"/>
      </w:pPr>
      <w:r>
        <w:t>附录 A 术语表</w:t>
      </w:r>
      <w:bookmarkStart w:name="_Toc013" w:id="14"/>
      <w:bookmarkEnd w:id="14"/>
    </w:p>
    <w:tbl>
      <w:tblPr>
        <w:tblW w:w="5000" w:type="pct"/>
        <w:tblBorders>
          <w:top w:val="single" w:color="1D4A41" w:sz="12"/>
          <w:bottom w:val="single" w:color="1D4A41" w:sz="12"/>
          <w:insideH w:val="single" w:color="D5E0DB" w:sz="4"/>
        </w:tblBorders>
        <w:tblCellMar>
          <w:top w:w="50" w:type="dxa"/>
          <w:left w:w="108" w:type="dxa"/>
          <w:bottom w:w="50" w:type="dxa"/>
          <w:right w:w="108" w:type="dxa"/>
        </w:tblCellMar>
      </w:tblPr>
      <w:tblGrid>
        <w:gridCol w:w="1900"/>
        <w:gridCol w:w="7100"/>
      </w:tblGrid>
      <w:tr>
        <w:trPr>
          <w:tblHeader/>
        </w:trPr>
        <w:tc>
          <w:tcPr>
            <w:tcW w:w="19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术语</w:t>
            </w:r>
          </w:p>
        </w:tc>
        <w:tc>
          <w:tcPr>
            <w:tcW w:w="7100" w:type="dxa"/>
            <w:shd w:val="clear" w:fill="EAF1EE"/>
          </w:tcPr>
          <w:p>
            <w:pPr>
              <w:spacing w:before="20" w:after="20" w:line="300" w:lineRule="auto"/>
              <w:ind w:firstLine="0"/>
              <w:jc w:val="center"/>
            </w:pPr>
            <w:r>
              <w:rPr>
                <w:rFonts w:ascii="Calibri" w:hAnsi="Calibri" w:eastAsia="Microsoft YaHei"/>
                <w:b/>
                <w:color w:val="1D4A41"/>
                <w:sz w:val="18"/>
              </w:rPr>
              <w:t>解释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核定征收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税务机关按核定额度或应税所得率征税的方式，账务要求较低，常见于小规模个体户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查账征收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按账簿记录的实际收入与利润计税的方式，要求建立规范账簿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数电票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全面数字化的电子发票，票面信息为结构化数据，可自动归集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经营所得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个体工商户生产、经营所得，按五级超额累进税率缴纳个人所得税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附加税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以增值税为计税依据的城市维护建设税、教育费附加等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汇算清缴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年度终了后对全年经营所得进行汇总计算、多退少补的申报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工商年报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个体工商户每年 6 月底前向市场监管部门报送的年度报告</w:t>
            </w:r>
          </w:p>
        </w:tc>
      </w:tr>
      <w:tr>
        <w:tc>
          <w:tcPr>
            <w:tcW w:w="19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b/>
                <w:color w:val="26332F"/>
                <w:sz w:val="18"/>
              </w:rPr>
              <w:t>金税四期</w:t>
            </w:r>
          </w:p>
        </w:tc>
        <w:tc>
          <w:tcPr>
            <w:tcW w:w="7100" w:type="dxa"/>
          </w:tcPr>
          <w:p>
            <w:pPr>
              <w:spacing w:before="20" w:after="20" w:line="300" w:lineRule="auto"/>
              <w:ind w:firstLine="0"/>
              <w:jc w:val="left"/>
            </w:pPr>
            <w:r>
              <w:rPr>
                <w:rFonts w:ascii="Calibri" w:hAnsi="Calibri" w:eastAsia="Microsoft YaHei"/>
                <w:color w:val="26332F"/>
                <w:sz w:val="18"/>
              </w:rPr>
              <w:t>税务信息化工程第四期，以数据驱动税收监管，即“以数治税”</w:t>
            </w:r>
          </w:p>
        </w:tc>
      </w:tr>
    </w:tbl>
    <w:p>
      <w:pPr>
        <w:sectPr>
          <w:headerReference w:type="default" r:id="R8cf4ff44102e4a4d"/>
          <w:footerReference w:type="default" r:id="R13e1c1ff0b8344c5"/>
          <w:pgSz w:w="11906" w:h="16838"/>
          <w:pgMar w:top="1800" w:right="1440" w:bottom="1440" w:left="1440" w:header="720" w:footer="720"/>
        </w:sectPr>
      </w:pPr>
    </w:p>
    <w:p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4" name="BackB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ckBg.png"/>
                    <pic:cNvPicPr/>
                  </pic:nvPicPr>
                  <pic:blipFill>
                    <a:blip r:embed="Rfcb613e09e754ea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before="5600"/>
        <w:ind w:firstLine="0"/>
        <w:jc w:val="center"/>
      </w:pPr>
      <w:r>
        <w:rPr>
          <w:rFonts w:ascii="Calibri" w:hAnsi="Calibri" w:eastAsia="Microsoft YaHei"/>
          <w:b/>
          <w:color w:val="1D4A41"/>
          <w:spacing w:val="30"/>
          <w:sz w:val="40"/>
        </w:rPr>
        <w:t>用户只管做生意，记账报税交给 AI</w:t>
      </w:r>
    </w:p>
    <w:p>
      <w:pPr>
        <w:spacing w:before="500"/>
        <w:ind w:firstLine="0"/>
        <w:jc w:val="center"/>
      </w:pPr>
      <w:r>
        <w:rPr>
          <w:rFonts w:ascii="Calibri" w:hAnsi="Calibri" w:eastAsia="Microsoft YaHei"/>
          <w:color w:val="8FA79E"/>
          <w:sz w:val="20"/>
        </w:rPr>
        <w:t>零账 ZeroBook 产品部 ｜ 2026 年 7 月</w:t>
      </w:r>
    </w:p>
    <w:sectPr>
      <w:headerReference w:type="default" r:id="Rbf7aa9438b0e4ff3"/>
      <w:footerReference w:type="default" r:id="Rfb0bd7353e314ca5"/>
      <w:pgSz w:w="11906" w:h="16838"/>
      <w:pgMar w:top="0" w:right="0" w:bottom="0" w:left="0" w:header="0" w:footer="0"/>
    </w:sectPr>
  </w:body>
</w:document>
</file>

<file path=word/footer1.xml><?xml version="1.0" encoding="utf-8"?>
<w:ftr xmlns:w="http://schemas.openxmlformats.org/wordprocessingml/2006/main">
  <w:p>
    <w:pPr>
      <w:ind w:firstLine="0"/>
      <w:jc w:val="center"/>
    </w:pPr>
    <w:r>
      <w:rPr>
        <w:rFonts w:ascii="Calibri" w:hAnsi="Calibri" w:eastAsia="Microsoft YaHei"/>
        <w:color w:val="8FA79E"/>
        <w:sz w:val="18"/>
      </w:rPr>
      <w:t xml:space="preserve">第 </w:t>
    </w:r>
    <w:r>
      <w:rPr>
        <w:rFonts w:ascii="Calibri" w:hAnsi="Calibri" w:eastAsia="Microsoft YaHei"/>
        <w:color w:val="8FA79E"/>
        <w:sz w:val="18"/>
      </w:rPr>
      <w:fldChar w:fldCharType="begin"/>
    </w:r>
    <w:r>
      <w:rPr>
        <w:rFonts w:ascii="Calibri" w:hAnsi="Calibri" w:eastAsia="Microsoft YaHei"/>
        <w:color w:val="8FA79E"/>
        <w:sz w:val="18"/>
      </w:rPr>
      <w:instrText xml:space="preserve"> PAGE </w:instrText>
    </w:r>
    <w:r>
      <w:rPr>
        <w:rFonts w:ascii="Calibri" w:hAnsi="Calibri" w:eastAsia="Microsoft YaHei"/>
        <w:color w:val="8FA79E"/>
        <w:sz w:val="18"/>
      </w:rPr>
      <w:fldChar w:fldCharType="separate"/>
    </w:r>
    <w:r>
      <w:rPr>
        <w:rFonts w:ascii="Calibri" w:hAnsi="Calibri" w:eastAsia="Microsoft YaHei"/>
        <w:color w:val="8FA79E"/>
        <w:sz w:val="18"/>
      </w:rPr>
      <w:t>1</w:t>
    </w:r>
    <w:r>
      <w:rPr>
        <w:rFonts w:ascii="Calibri" w:hAnsi="Calibri" w:eastAsia="Microsoft YaHei"/>
        <w:color w:val="8FA79E"/>
        <w:sz w:val="18"/>
      </w:rPr>
      <w:fldChar w:fldCharType="end"/>
    </w:r>
    <w:r>
      <w:rPr>
        <w:rFonts w:ascii="Calibri" w:hAnsi="Calibri" w:eastAsia="Microsoft YaHei"/>
        <w:color w:val="8FA79E"/>
        <w:sz w:val="18"/>
      </w:rPr>
      <w:t xml:space="preserve"> 页 / 共 </w:t>
    </w:r>
    <w:r>
      <w:rPr>
        <w:rFonts w:ascii="Calibri" w:hAnsi="Calibri" w:eastAsia="Microsoft YaHei"/>
        <w:color w:val="8FA79E"/>
        <w:sz w:val="18"/>
      </w:rPr>
      <w:fldChar w:fldCharType="begin"/>
    </w:r>
    <w:r>
      <w:rPr>
        <w:rFonts w:ascii="Calibri" w:hAnsi="Calibri" w:eastAsia="Microsoft YaHei"/>
        <w:color w:val="8FA79E"/>
        <w:sz w:val="18"/>
      </w:rPr>
      <w:instrText xml:space="preserve"> NUMPAGES </w:instrText>
    </w:r>
    <w:r>
      <w:rPr>
        <w:rFonts w:ascii="Calibri" w:hAnsi="Calibri" w:eastAsia="Microsoft YaHei"/>
        <w:color w:val="8FA79E"/>
        <w:sz w:val="18"/>
      </w:rPr>
      <w:fldChar w:fldCharType="separate"/>
    </w:r>
    <w:r>
      <w:rPr>
        <w:rFonts w:ascii="Calibri" w:hAnsi="Calibri" w:eastAsia="Microsoft YaHei"/>
        <w:color w:val="8FA79E"/>
        <w:sz w:val="18"/>
      </w:rPr>
      <w:t>1</w:t>
    </w:r>
    <w:r>
      <w:rPr>
        <w:rFonts w:ascii="Calibri" w:hAnsi="Calibri" w:eastAsia="Microsoft YaHei"/>
        <w:color w:val="8FA79E"/>
        <w:sz w:val="18"/>
      </w:rPr>
      <w:fldChar w:fldCharType="end"/>
    </w:r>
    <w:r>
      <w:rPr>
        <w:rFonts w:ascii="Calibri" w:hAnsi="Calibri" w:eastAsia="Microsoft YaHei"/>
        <w:color w:val="8FA79E"/>
        <w:sz w:val="18"/>
      </w:rPr>
      <w:t xml:space="preserve"> 页</w:t>
    </w:r>
  </w:p>
</w:ftr>
</file>

<file path=word/footer2.xml><?xml version="1.0" encoding="utf-8"?>
<w:ftr xmlns:w="http://schemas.openxmlformats.org/wordprocessingml/2006/main">
  <w:p>
    <w:r/>
  </w:p>
</w:ftr>
</file>

<file path=word/header1.xml><?xml version="1.0" encoding="utf-8"?>
<w:hdr xmlns:w="http://schemas.openxmlformats.org/wordprocessingml/2006/main">
  <w:p>
    <w:pPr>
      <w:ind w:firstLine="0"/>
      <w:jc w:val="right"/>
    </w:pPr>
    <w:r>
      <w:rPr>
        <w:rFonts w:ascii="Calibri" w:hAnsi="Calibri" w:eastAsia="Microsoft YaHei"/>
        <w:color w:val="8FA79E"/>
        <w:sz w:val="18"/>
      </w:rPr>
      <w:t>零账 ZeroBook · 产品手册（内部讨论版）</w:t>
    </w:r>
  </w:p>
</w:hdr>
</file>

<file path=word/header2.xml><?xml version="1.0" encoding="utf-8"?>
<w:hdr xmlns:w="http://schemas.openxmlformats.org/wordprocessingml/2006/main">
  <w:p>
    <w:r/>
  </w:p>
</w:hdr>
</file>

<file path=word/settings.xml><?xml version="1.0" encoding="utf-8"?>
<w:settings xmlns:w="http://schemas.openxmlformats.org/wordprocessingml/2006/main">
  <w:displayBackgroundShape/>
  <w:updateFields w:val="true"/>
</w:settings>
</file>

<file path=word/styles.xml><?xml version="1.0" encoding="utf-8"?>
<w:styles xmlns:w="http://schemas.openxmlformats.org/wordprocessingml/2006/main">
  <w:style w:type="paragraph" w:styleId="Normal" w:default="true">
    <w:name w:val="Normal"/>
    <w:pPr>
      <w:spacing w:after="160" w:line="360" w:lineRule="auto"/>
      <w:ind w:firstLine="480"/>
    </w:pPr>
    <w:rPr>
      <w:rFonts w:ascii="Calibri" w:hAnsi="Calibri" w:eastAsia="Microsoft YaHei"/>
      <w:color w:val="26332F"/>
      <w:sz w:val="21"/>
    </w:rPr>
  </w:style>
  <w:style w:type="paragraph" w:styleId="Heading1">
    <w:name w:val="heading 1"/>
    <w:basedOn w:val="Normal"/>
    <w:pPr>
      <w:keepNext/>
      <w:keepLines/>
      <w:spacing w:before="640" w:after="260"/>
      <w:ind w:firstLine="0"/>
      <w:outlineLvl w:val="0"/>
    </w:pPr>
    <w:rPr>
      <w:rFonts w:ascii="Calibri" w:hAnsi="Calibri" w:eastAsia="Microsoft YaHei"/>
      <w:b/>
      <w:color w:val="1D4A41"/>
      <w:sz w:val="36"/>
    </w:rPr>
  </w:style>
  <w:style w:type="paragraph" w:styleId="Heading2">
    <w:name w:val="heading 2"/>
    <w:basedOn w:val="Normal"/>
    <w:pPr>
      <w:keepNext/>
      <w:keepLines/>
      <w:spacing w:before="420" w:after="180"/>
      <w:ind w:firstLine="0"/>
      <w:outlineLvl w:val="1"/>
    </w:pPr>
    <w:rPr>
      <w:rFonts w:ascii="Calibri" w:hAnsi="Calibri" w:eastAsia="Microsoft YaHei"/>
      <w:b/>
      <w:color w:val="26332F"/>
      <w:sz w:val="28"/>
    </w:rPr>
  </w:style>
  <w:style w:type="paragraph" w:styleId="Heading3">
    <w:name w:val="heading 3"/>
    <w:basedOn w:val="Normal"/>
    <w:pPr>
      <w:keepNext/>
      <w:keepLines/>
      <w:spacing w:before="300" w:after="140"/>
      <w:ind w:firstLine="0"/>
      <w:outlineLvl w:val="2"/>
    </w:pPr>
    <w:rPr>
      <w:rFonts w:ascii="Calibri" w:hAnsi="Calibri" w:eastAsia="Microsoft YaHei"/>
      <w:b/>
      <w:color w:val="2F6B5C"/>
      <w:sz w:val="24"/>
    </w:rPr>
  </w:style>
  <w:style w:type="paragraph" w:styleId="Caption">
    <w:name w:val="Caption"/>
    <w:basedOn w:val="Normal"/>
    <w:pPr>
      <w:spacing w:before="60" w:after="320"/>
      <w:ind w:firstLine="0"/>
      <w:jc w:val="center"/>
    </w:pPr>
    <w:rPr>
      <w:rFonts w:ascii="Calibri" w:hAnsi="Calibri" w:eastAsia="Microsoft YaHei"/>
      <w:color w:val="8FA79E"/>
      <w:sz w:val="18"/>
    </w:rPr>
  </w:style>
  <w:style w:type="paragraph" w:styleId="TOC1">
    <w:name w:val="toc 1"/>
    <w:basedOn w:val="Normal"/>
    <w:pPr>
      <w:tabs>
        <w:tab w:val="right" w:leader="dot" w:pos="9350"/>
      </w:tabs>
      <w:spacing w:before="200" w:after="40"/>
      <w:ind w:left="0" w:firstLine="0"/>
    </w:pPr>
    <w:rPr>
      <w:rFonts w:ascii="Calibri" w:hAnsi="Calibri" w:eastAsia="Microsoft YaHei"/>
      <w:b/>
      <w:color w:val="26332F"/>
    </w:rPr>
  </w:style>
  <w:style w:type="paragraph" w:styleId="TOC2">
    <w:name w:val="toc 2"/>
    <w:basedOn w:val="Normal"/>
    <w:pPr>
      <w:tabs>
        <w:tab w:val="right" w:leader="dot" w:pos="9350"/>
      </w:tabs>
      <w:spacing w:before="40" w:after="40"/>
      <w:ind w:left="360" w:firstLine="0"/>
    </w:pPr>
    <w:rPr>
      <w:rFonts w:ascii="Calibri" w:hAnsi="Calibri" w:eastAsia="Microsoft YaHei"/>
      <w:color w:val="4A675F"/>
    </w:rPr>
  </w:style>
</w:styles>
</file>

<file path=word/_rels/document.xml.rels><?xml version='1.0' encoding='UTF-8'?>
<Relationships xmlns="http://schemas.openxmlformats.org/package/2006/relationships"><Relationship Type="http://schemas.openxmlformats.org/officeDocument/2006/relationships/styles" Target="styles.xml" Id="R5f8243033a2e447e" /><Relationship Type="http://schemas.openxmlformats.org/officeDocument/2006/relationships/image" Target="media/image.png" Id="R121ee045e6a34954" /><Relationship Type="http://schemas.openxmlformats.org/officeDocument/2006/relationships/image" Target="media/image2.png" Id="Rfcb613e09e754ea3" /><Relationship Type="http://schemas.openxmlformats.org/officeDocument/2006/relationships/header" Target="header1.xml" Id="R8cf4ff44102e4a4d" /><Relationship Type="http://schemas.openxmlformats.org/officeDocument/2006/relationships/footer" Target="footer1.xml" Id="R13e1c1ff0b8344c5" /><Relationship Type="http://schemas.openxmlformats.org/officeDocument/2006/relationships/image" Target="media/image3.png" Id="R014b7b9886334cdc" /><Relationship Type="http://schemas.openxmlformats.org/officeDocument/2006/relationships/image" Target="media/image4.png" Id="R2f21af03ea0844c3" /><Relationship Type="http://schemas.openxmlformats.org/officeDocument/2006/relationships/header" Target="header2.xml" Id="Rbf7aa9438b0e4ff3" /><Relationship Type="http://schemas.openxmlformats.org/officeDocument/2006/relationships/footer" Target="footer2.xml" Id="Rfb0bd7353e314ca5" /><Relationship Type="http://schemas.openxmlformats.org/officeDocument/2006/relationships/settings" Target="settings.xml" Id="R482168ddfdfc417f" /></Relationships>
</file>